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60" w:type="dxa"/>
        <w:jc w:val="center"/>
        <w:tblInd w:w="-2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275"/>
        <w:gridCol w:w="705"/>
        <w:gridCol w:w="62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bookmarkStart w:id="0" w:name="_GoBack"/>
            <w:r>
              <w:rPr>
                <w:rStyle w:val="4"/>
                <w:rFonts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6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财务融资部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融资主管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1、第一学历为全日制高等院校本科以上学历；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2、金融、经济、会计、法律、管理类相关专业；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3、年龄40周岁以下；（1978年12月31日以后出生）；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4、具有银行从业经历的，应具备以下条件：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（1）10年以上银行工作经历，且担任过支行行长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或部门经理（主任）以上职位超过2年；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（2）10年以上银行工作经历，且担任过支行副行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长或部门副经理（副主任）以上职位超过5年；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（3）10年以下银行工作经历，担任过分行公司业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务部（信贷部）副主任（副经理）以上职务超过2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5、在行政及事业单位从事投融资或财务管理岗位5年以上。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6、熟悉公司项目的包装与运作、项目的开发流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程；熟悉国家财务、税收、金融有关政策法规，具有一定的法律专业知识；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7、具以下条件之一的，同等条件下可优先，且年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龄放宽至45周岁：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（1）会计师或注册会计师执业资格；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（2）硕士学位、且有金融机构从事风控业务工作经历；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（3）硕士学位、且在金融机构工作年限超过5年；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8、具有银行、证券等相关金融机构从事投融资工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作经历6年以上且业绩较为突出的，不受学历及专业限制，年龄可放宽至45周岁。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财务融资部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投资主办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1、第一学历为全日制高等院校本科以上学历；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2、金融、经济、会计、法律类相关专业；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3、年龄35周岁以下；（1983年12月31日以后出生）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4、具有5年以上在金融机构从业经历，且从事过2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年以上融资信贷、公司客户经理等相关工作岗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5、文字综合能力较强，能独立策划投资项目，且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能独立撰写各种分析报告；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6、具以下条件之一的，同等条件下可优先，且年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龄放宽至40周岁：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（1）会计师或注册会计师执业资格；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（2）具有硕士学位，有金融机构从事风控业务工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（3）具有硕士学位，在金融机构工作年限不低于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3年；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7、具有银行、证券等相关金融机构从事过投融资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工作经历3年以上且业绩较为突出的，不受学历及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专业限制，年龄可放宽至40周岁。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综合管理部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人事管理岗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1、第一学历为全日制高等院校本科以上学历；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2、人力资源、中文、公共管理、心理学类相关专业；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3、年龄35周岁以下；（1983年12月31日以后出生）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4、具有人力资源管理师证；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5、熟悉国家关于劳动合同、人力资源管理方面的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法律法规；掌握培训与开发、考核与评价、薪酬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与福利管理等专业知识；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6、3年以上国有企业、大型企业人力资源管理经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历的同等条件下可优先录取且年龄可放宽至40周岁,中共党员优先；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资产管理部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物业管理岗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（主管）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1、第一学历为全日制高等院校本科以上学历；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2、资产评估、物业管理、房地产开发管理类相关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3、年龄38周岁以下；（1980年12月31日以后出生）；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4、5年以上物业管理、工程项目管理、资产管理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相关工作经验，其中担任经理以上工作经验3年以上；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稽核审计部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稽核业务岗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1、第一学历为全日制高等院校一本以上学历；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2、审计、金融、会计、法律类相关专业；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3、年龄在35周岁以下；（1983年12月31日以后出生）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4、具有一定的文案功底、良好的文字表达及信息处理能力；具备敏锐的观察、分析、判断和良好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的协调沟通能力；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5、熟悉稽核制度和流程，3年以上审计、稽核工作经验，独立承担过稽核项目；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6、具有审计师、注册会计师、中级会计师、律师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资格证的且从事同类岗位2年以上的，可不受学历和专业限制，年龄可放宽至38周岁。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审计业务岗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1、第一学历为全日制高等院校一本以上学历；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2、审计、金融、会计、法律类相关专业；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3、年龄35周岁以下；（1983年12月31日以后出生）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4、熟练掌握会计、审计、税务相关法律法规及熟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悉国有企事业单位财务政策、内部审计流程，3年以上审计、会计师事务所等岗位工作经验，有独立承担过审计项目；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5、具有审计师、中级会计师、注册会计师、律师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bdr w:val="none" w:color="auto" w:sz="0" w:space="0"/>
                <w:shd w:val="clear" w:fill="FFFFFF"/>
              </w:rPr>
              <w:t>资格证的且从事同类岗位2年以上的，可不受学历和专业限制，年龄可放宽至38周岁。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before="826" w:beforeAutospacing="0" w:after="0" w:afterAutospacing="1" w:line="360" w:lineRule="auto"/>
        <w:ind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45C64"/>
    <w:rsid w:val="14645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2019-01-18T11:56:00Z</dcterms:created>
  <dc:creator>天空</dc:creator>
  <cp:lastModifiedBy>天空</cp:lastModifiedBy>
  <dcterms:modified xsi:type="dcterms:W3CDTF">2019-01-18T11:57:14Z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