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992"/>
        <w:gridCol w:w="1274"/>
        <w:gridCol w:w="2167"/>
        <w:gridCol w:w="849"/>
        <w:gridCol w:w="846"/>
        <w:gridCol w:w="1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序号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招聘岗位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专业</w:t>
            </w:r>
          </w:p>
        </w:tc>
        <w:tc>
          <w:tcPr>
            <w:tcW w:w="3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学历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招聘人数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性别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西医临床医生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临床医学</w:t>
            </w:r>
          </w:p>
        </w:tc>
        <w:tc>
          <w:tcPr>
            <w:tcW w:w="3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全日制大专及以上学历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男女不限</w:t>
            </w:r>
          </w:p>
        </w:tc>
        <w:tc>
          <w:tcPr>
            <w:tcW w:w="21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取得执业医师资格证者，参加理论考试和技能考核，不受比例限制，入围面试。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中医临床医生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中医学、</w:t>
            </w:r>
            <w:r>
              <w:rPr>
                <w:rFonts w:ascii="方正仿宋简体" w:hAnsi="方正仿宋简体" w:eastAsia="方正仿宋简体" w:cs="方正仿宋简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eastAsia="zh-CN"/>
              </w:rPr>
              <w:t>中西医临床医学</w:t>
            </w:r>
          </w:p>
        </w:tc>
        <w:tc>
          <w:tcPr>
            <w:tcW w:w="3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全日制本科及以上学历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男女不限</w:t>
            </w:r>
          </w:p>
        </w:tc>
        <w:tc>
          <w:tcPr>
            <w:tcW w:w="21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  <w:jc w:val="center"/>
        </w:trPr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护理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护理类</w:t>
            </w:r>
          </w:p>
        </w:tc>
        <w:tc>
          <w:tcPr>
            <w:tcW w:w="3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全日制大专及以上学历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男女不限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除2020年应届全日制本科毕业生外，均需取得护士执业资格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会计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财务管理、会计</w:t>
            </w:r>
          </w:p>
        </w:tc>
        <w:tc>
          <w:tcPr>
            <w:tcW w:w="3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全日制本科及以上学历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eastAsia="zh-CN"/>
              </w:rPr>
              <w:t>男女不限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90102"/>
    <w:rsid w:val="53D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2020-07-18T02:16:00Z</dcterms:created>
  <dc:creator>Administrator</dc:creator>
  <cp:lastModifiedBy>Administrator</cp:lastModifiedBy>
  <dcterms:modified xsi:type="dcterms:W3CDTF">2020-07-18T02:22:19Z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