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0"/>
          <w:szCs w:val="30"/>
          <w:bdr w:val="none" w:color="auto" w:sz="0" w:space="0"/>
          <w:shd w:val="clear" w:fill="FFFFFF"/>
        </w:rPr>
        <w:t>修水县中医院</w:t>
      </w:r>
      <w:bookmarkStart w:id="0" w:name="_GoBack"/>
      <w:bookmarkEnd w:id="0"/>
      <w:r>
        <w:rPr>
          <w:rFonts w:hint="default" w:ascii="Calibri" w:hAnsi="Calibri" w:cs="Calibri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招聘岗位及要求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031"/>
        <w:gridCol w:w="1384"/>
        <w:gridCol w:w="2661"/>
        <w:gridCol w:w="615"/>
        <w:gridCol w:w="615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  <w:jc w:val="center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急诊科</w:t>
            </w: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医生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临床医学、中医学（含中西医结合）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临床医学：全日制大专及以上学历；中医学（含中西医结合）：全日制本科学历及以上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1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中医学（含中西医结合）专业取得执业医师资格证者，学历要求放宽至全日制大专及以上。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取得执业医师资格证者，参加理论考试和技能考核，不受比例限制，入围面试。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耳鼻咽喉科医生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临床医学、中医学（含中西医结合）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临床医学：全日制大专及以上学历；中医学（含中西医结合）：全日制中医类大学或学院本部本科学历及以上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男女不限</w:t>
            </w: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  <w:jc w:val="center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眼科</w:t>
            </w: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医生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临床医学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全日制大专及以上学历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男女不限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89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取得执业医师资格证者，参加理论考试和技能考核，不受比例限制，入围面试。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92E6A"/>
    <w:rsid w:val="67792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2019-07-09T04:20:00Z</dcterms:created>
  <dc:creator>ASUS</dc:creator>
  <cp:lastModifiedBy>ASUS</cp:lastModifiedBy>
  <dcterms:modified xsi:type="dcterms:W3CDTF">2019-07-09T04:20:45Z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