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bookmarkStart w:id="0" w:name="_GoBack"/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 xml:space="preserve">南昌大学附属眼科医院招聘岗位、人数、条件 </w:t>
      </w:r>
    </w:p>
    <w:bookmarkEnd w:id="0"/>
    <w:tbl>
      <w:tblPr>
        <w:tblW w:w="8615" w:type="dxa"/>
        <w:jc w:val="center"/>
        <w:tblInd w:w="-139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1702"/>
        <w:gridCol w:w="723"/>
        <w:gridCol w:w="618"/>
        <w:gridCol w:w="510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部门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眼底病科、青光眼科、儿童眼科、神经眼科等临床专科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技术骨干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眼科学专业（105111）；全日制博士研究生学历、学位；或眼科主任医师，临床医学专业（100301）；全日制本科及以上学历，有三甲医院5年以上工作经历；年龄45周岁以下（1973年12月31日以后出生）。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眼眶病、眼肿瘤眼外伤科、青光眼科、儿童眼科等临床专科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专业技术人员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眼科学专业（105111）；全日制硕士研究生学历、学位；有医师资格证；年龄35周岁以下（1983年12月31日以后出生）；或眼科副主任医师；临床医学专业（100301）本科及以上学历；年龄45周岁以下（1973年12月31日以后出生）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病理科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专业技术人员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病理学与病理生理学专业(100104)；全日制硕士研究生；有病理专业医师资格证；年龄35周岁以下（1983年12月31日以后出生）。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合计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备注：1、硕士研究生最迟2019年7月31日前获得学历学位证书且第一学历为全日制统招本科，博士研究生最迟2019年12月31日前获得学历学位证书。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2、到岗时间：经考察、体检合格后的人员，必须在接到录取通知后2周内到岗，否则，视为自动放弃。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26921"/>
    <w:rsid w:val="2322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4183C4"/>
      <w:kern w:val="0"/>
      <w:sz w:val="24"/>
      <w:u w:val="single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2019-03-23T02:34:00Z</dcterms:created>
  <dc:creator>石果</dc:creator>
  <cp:lastModifiedBy>石果</cp:lastModifiedBy>
  <dcterms:modified xsi:type="dcterms:W3CDTF">2019-03-23T02:34:28Z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