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84" w:lineRule="auto"/>
      </w:pPr>
      <w:bookmarkStart w:id="0" w:name="_GoBack"/>
      <w:r>
        <w:rPr>
          <w:rFonts w:ascii="宋体" w:hAnsi="宋体" w:eastAsia="宋体" w:cs="宋体"/>
          <w:b/>
          <w:color w:val="000080"/>
          <w:sz w:val="38"/>
          <w:szCs w:val="38"/>
        </w:rPr>
        <w:t>萍乡市人民医院</w:t>
      </w:r>
      <w:r>
        <w:rPr>
          <w:rStyle w:val="5"/>
          <w:rFonts w:ascii="Verdana" w:hAnsi="Verdana" w:cs="Verdana"/>
          <w:sz w:val="21"/>
          <w:szCs w:val="21"/>
        </w:rPr>
        <w:t>招聘岗位、人数及岗位条件</w:t>
      </w:r>
    </w:p>
    <w:bookmarkEnd w:id="0"/>
    <w:tbl>
      <w:tblPr>
        <w:tblW w:w="96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1280"/>
        <w:gridCol w:w="60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</w:rPr>
              <w:t>招聘岗位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</w:rPr>
              <w:t>招聘人数</w:t>
            </w:r>
          </w:p>
        </w:tc>
        <w:tc>
          <w:tcPr>
            <w:tcW w:w="6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</w:rPr>
              <w:t>招聘条件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2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整形创伤外科医师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全日制本科及以上学历，临床医学专业，取得医师资格证，主治医师及以上职称，取得整形外科进修证书，年龄不超过40周岁，毕业后在三级甲等综合医院工作五年以上。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2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药剂科工作人员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本科及以上学历，应届毕业生要求25周岁以下；历届生需有2年以上三级甲等综合医院工作经历，药师及以上职称，年龄不超过40周岁。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84" w:lineRule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133F5"/>
    <w:rsid w:val="63A133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2019-04-22T06:27:00Z</dcterms:created>
  <dc:creator>ASUS</dc:creator>
  <cp:lastModifiedBy>ASUS</cp:lastModifiedBy>
  <dcterms:modified xsi:type="dcterms:W3CDTF">2019-04-22T06:28:04Z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