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24"/>
          <w:szCs w:val="24"/>
          <w:shd w:val="clear" w:fill="FFFFFF"/>
        </w:rPr>
        <w:t>江西省非物质文化遗产研究保护中心</w:t>
      </w:r>
      <w:r>
        <w:rPr>
          <w:rFonts w:ascii="Tahoma" w:hAnsi="Tahoma" w:eastAsia="Tahoma" w:cs="Tahom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招聘岗位、人数及条件</w:t>
      </w:r>
    </w:p>
    <w:bookmarkEnd w:id="0"/>
    <w:tbl>
      <w:tblPr>
        <w:tblW w:w="6998" w:type="dxa"/>
        <w:jc w:val="center"/>
        <w:tblInd w:w="654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1084"/>
        <w:gridCol w:w="3521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会计学专业（120201）、会计专业（1253）；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全日制硕士研究生学历、学位；年龄在35周岁以下（1984年8月1日后出生）；具有会计从业资格证书及3年以上（含3年）会计工作经历。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5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备注：以上岗位条件中专业名称后括号中数字为学科专业代码。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60C55"/>
    <w:rsid w:val="6B560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2019-08-07T09:24:00Z</dcterms:created>
  <dc:creator>ASUS</dc:creator>
  <cp:lastModifiedBy>ASUS</cp:lastModifiedBy>
  <dcterms:modified xsi:type="dcterms:W3CDTF">2019-08-07T09:24:28Z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