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40"/>
        <w:jc w:val="left"/>
        <w:rPr>
          <w:rFonts w:ascii="Arial" w:hAnsi="Arial" w:cs="Arial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24"/>
          <w:szCs w:val="24"/>
          <w:shd w:val="clear" w:fill="FFFFFF"/>
        </w:rPr>
        <w:t>江西省非物质文化遗产研究保护中心</w:t>
      </w:r>
      <w:r>
        <w:rPr>
          <w:rFonts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招聘岗位、人数及条件</w:t>
      </w:r>
    </w:p>
    <w:bookmarkEnd w:id="0"/>
    <w:tbl>
      <w:tblPr>
        <w:tblW w:w="6998" w:type="dxa"/>
        <w:jc w:val="center"/>
        <w:tblInd w:w="654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1084"/>
        <w:gridCol w:w="3521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会计学专业（120201）、会计专业（1253）；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5"/>
                <w:szCs w:val="15"/>
                <w:bdr w:val="none" w:color="auto" w:sz="0" w:space="0"/>
                <w:shd w:val="clear" w:fill="FFFFFF"/>
                <w:lang w:val="en-US" w:eastAsia="zh-CN" w:bidi="ar"/>
              </w:rPr>
              <w:t>全日制硕士研究生学历、学位；年龄在35周岁以下（1984年8月1日后出生）；具有会计从业资格证书及3年以上（含3年）会计工作经历。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45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备注：以上岗位条件中专业名称后括号中数字为学科专业代码。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60C55"/>
    <w:rsid w:val="6B560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2019-08-07T09:24:00Z</dcterms:created>
  <dc:creator>ASUS</dc:creator>
  <cp:lastModifiedBy>ASUS</cp:lastModifiedBy>
  <dcterms:modified xsi:type="dcterms:W3CDTF">2019-08-07T09:24:28Z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